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4080" w:rsidRPr="00114959" w:rsidRDefault="003E4080" w:rsidP="00E35149">
      <w:pPr>
        <w:spacing w:after="0" w:line="480" w:lineRule="auto"/>
        <w:contextualSpacing/>
        <w:rPr>
          <w:rFonts w:ascii="Times New Roman" w:hAnsi="Times New Roman" w:cs="Times New Roman"/>
          <w:sz w:val="24"/>
          <w:szCs w:val="24"/>
        </w:rPr>
      </w:pPr>
      <w:r w:rsidRPr="00114959">
        <w:rPr>
          <w:rFonts w:ascii="Times New Roman" w:hAnsi="Times New Roman" w:cs="Times New Roman"/>
          <w:sz w:val="24"/>
          <w:szCs w:val="24"/>
        </w:rPr>
        <w:t>Student’s Name</w:t>
      </w:r>
    </w:p>
    <w:p w:rsidR="003E4080" w:rsidRPr="00114959" w:rsidRDefault="003E4080" w:rsidP="00E35149">
      <w:pPr>
        <w:spacing w:after="0" w:line="480" w:lineRule="auto"/>
        <w:contextualSpacing/>
        <w:rPr>
          <w:rFonts w:ascii="Times New Roman" w:hAnsi="Times New Roman" w:cs="Times New Roman"/>
          <w:sz w:val="24"/>
          <w:szCs w:val="24"/>
        </w:rPr>
      </w:pPr>
      <w:r w:rsidRPr="00114959">
        <w:rPr>
          <w:rFonts w:ascii="Times New Roman" w:hAnsi="Times New Roman" w:cs="Times New Roman"/>
          <w:sz w:val="24"/>
          <w:szCs w:val="24"/>
        </w:rPr>
        <w:t>Name of Course</w:t>
      </w:r>
    </w:p>
    <w:p w:rsidR="003E4080" w:rsidRPr="00114959" w:rsidRDefault="003E4080" w:rsidP="00E35149">
      <w:pPr>
        <w:spacing w:after="0" w:line="480" w:lineRule="auto"/>
        <w:contextualSpacing/>
        <w:rPr>
          <w:rFonts w:ascii="Times New Roman" w:hAnsi="Times New Roman" w:cs="Times New Roman"/>
          <w:sz w:val="24"/>
          <w:szCs w:val="24"/>
        </w:rPr>
      </w:pPr>
      <w:r w:rsidRPr="00114959">
        <w:rPr>
          <w:rFonts w:ascii="Times New Roman" w:hAnsi="Times New Roman" w:cs="Times New Roman"/>
          <w:sz w:val="24"/>
          <w:szCs w:val="24"/>
        </w:rPr>
        <w:t>Professor’s Name</w:t>
      </w:r>
    </w:p>
    <w:p w:rsidR="003E4080" w:rsidRDefault="003E4080" w:rsidP="00E35149">
      <w:pPr>
        <w:spacing w:after="0" w:line="480" w:lineRule="auto"/>
        <w:contextualSpacing/>
        <w:rPr>
          <w:rFonts w:ascii="Times New Roman" w:hAnsi="Times New Roman" w:cs="Times New Roman"/>
          <w:sz w:val="24"/>
          <w:szCs w:val="24"/>
        </w:rPr>
      </w:pPr>
      <w:r w:rsidRPr="00114959">
        <w:rPr>
          <w:rFonts w:ascii="Times New Roman" w:hAnsi="Times New Roman" w:cs="Times New Roman"/>
          <w:sz w:val="24"/>
          <w:szCs w:val="24"/>
        </w:rPr>
        <w:t>Date</w:t>
      </w:r>
    </w:p>
    <w:p w:rsidR="003E4080" w:rsidRPr="003E4080" w:rsidRDefault="003E4080" w:rsidP="00E35149">
      <w:pPr>
        <w:spacing w:after="0" w:line="480" w:lineRule="auto"/>
        <w:contextualSpacing/>
        <w:jc w:val="center"/>
        <w:rPr>
          <w:rFonts w:ascii="Times New Roman" w:hAnsi="Times New Roman" w:cs="Times New Roman"/>
          <w:b/>
          <w:sz w:val="24"/>
          <w:szCs w:val="24"/>
        </w:rPr>
      </w:pPr>
      <w:r w:rsidRPr="003E4080">
        <w:rPr>
          <w:rFonts w:ascii="Times New Roman" w:hAnsi="Times New Roman" w:cs="Times New Roman"/>
          <w:b/>
          <w:sz w:val="24"/>
          <w:szCs w:val="24"/>
        </w:rPr>
        <w:t xml:space="preserve">Health Care Waivers: 1332-State Relief </w:t>
      </w:r>
      <w:r w:rsidR="00490DA8" w:rsidRPr="003E4080">
        <w:rPr>
          <w:rFonts w:ascii="Times New Roman" w:hAnsi="Times New Roman" w:cs="Times New Roman"/>
          <w:b/>
          <w:sz w:val="24"/>
          <w:szCs w:val="24"/>
        </w:rPr>
        <w:t>and</w:t>
      </w:r>
      <w:r w:rsidRPr="003E4080">
        <w:rPr>
          <w:rFonts w:ascii="Times New Roman" w:hAnsi="Times New Roman" w:cs="Times New Roman"/>
          <w:b/>
          <w:sz w:val="24"/>
          <w:szCs w:val="24"/>
        </w:rPr>
        <w:t xml:space="preserve"> Empowerment Waivers Webinar</w:t>
      </w:r>
    </w:p>
    <w:p w:rsidR="003E4080" w:rsidRPr="003E4080" w:rsidRDefault="003E4080" w:rsidP="00E35149">
      <w:pPr>
        <w:spacing w:after="0" w:line="480" w:lineRule="auto"/>
        <w:contextualSpacing/>
        <w:rPr>
          <w:rFonts w:ascii="Times New Roman" w:hAnsi="Times New Roman" w:cs="Times New Roman"/>
          <w:sz w:val="24"/>
          <w:szCs w:val="24"/>
        </w:rPr>
      </w:pPr>
      <w:r w:rsidRPr="003E4080">
        <w:rPr>
          <w:rFonts w:ascii="Times New Roman" w:hAnsi="Times New Roman" w:cs="Times New Roman"/>
          <w:sz w:val="24"/>
          <w:szCs w:val="24"/>
        </w:rPr>
        <w:t>The National Conference of State Legislatures webinar is a platform for information exchange with several players in the health insurance leaders and department of health.</w:t>
      </w:r>
    </w:p>
    <w:p w:rsidR="003E4080" w:rsidRPr="003E4080" w:rsidRDefault="003E4080" w:rsidP="00E3514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The speakers in this webinar</w:t>
      </w:r>
      <w:r w:rsidRPr="003E4080">
        <w:rPr>
          <w:rFonts w:ascii="Times New Roman" w:hAnsi="Times New Roman" w:cs="Times New Roman"/>
          <w:sz w:val="24"/>
          <w:szCs w:val="24"/>
        </w:rPr>
        <w:t xml:space="preserve"> are experts in their </w:t>
      </w:r>
      <w:r>
        <w:rPr>
          <w:rFonts w:ascii="Times New Roman" w:hAnsi="Times New Roman" w:cs="Times New Roman"/>
          <w:sz w:val="24"/>
          <w:szCs w:val="24"/>
        </w:rPr>
        <w:t xml:space="preserve">respective </w:t>
      </w:r>
      <w:r w:rsidRPr="003E4080">
        <w:rPr>
          <w:rFonts w:ascii="Times New Roman" w:hAnsi="Times New Roman" w:cs="Times New Roman"/>
          <w:sz w:val="24"/>
          <w:szCs w:val="24"/>
        </w:rPr>
        <w:t>fields, and they bring</w:t>
      </w:r>
      <w:r>
        <w:rPr>
          <w:rFonts w:ascii="Times New Roman" w:hAnsi="Times New Roman" w:cs="Times New Roman"/>
          <w:sz w:val="24"/>
          <w:szCs w:val="24"/>
        </w:rPr>
        <w:t xml:space="preserve"> with them</w:t>
      </w:r>
      <w:r w:rsidRPr="003E4080">
        <w:rPr>
          <w:rFonts w:ascii="Times New Roman" w:hAnsi="Times New Roman" w:cs="Times New Roman"/>
          <w:sz w:val="24"/>
          <w:szCs w:val="24"/>
        </w:rPr>
        <w:t xml:space="preserve"> their experience.  The 1332 waivers as stated by the speakers are one way CMS which gives the states the flexibility to develop inventive ways of stabilizing the risk pool and fulfill the needs of their citizens in their specific states.  These Section 1332 waivers are currently known as the State Relief and Empowerful Waivers to mirror new changes. </w:t>
      </w:r>
    </w:p>
    <w:p w:rsidR="003E4080" w:rsidRPr="003E4080" w:rsidRDefault="003E4080" w:rsidP="00E35149">
      <w:pPr>
        <w:spacing w:after="0" w:line="480" w:lineRule="auto"/>
        <w:contextualSpacing/>
        <w:rPr>
          <w:rFonts w:ascii="Times New Roman" w:hAnsi="Times New Roman" w:cs="Times New Roman"/>
          <w:sz w:val="24"/>
          <w:szCs w:val="24"/>
        </w:rPr>
      </w:pPr>
      <w:r w:rsidRPr="003E4080">
        <w:rPr>
          <w:rFonts w:ascii="Times New Roman" w:hAnsi="Times New Roman" w:cs="Times New Roman"/>
          <w:sz w:val="24"/>
          <w:szCs w:val="24"/>
        </w:rPr>
        <w:t xml:space="preserve"> </w:t>
      </w:r>
      <w:r>
        <w:rPr>
          <w:rFonts w:ascii="Times New Roman" w:hAnsi="Times New Roman" w:cs="Times New Roman"/>
          <w:sz w:val="24"/>
          <w:szCs w:val="24"/>
        </w:rPr>
        <w:tab/>
      </w:r>
      <w:r w:rsidRPr="003E4080">
        <w:rPr>
          <w:rFonts w:ascii="Times New Roman" w:hAnsi="Times New Roman" w:cs="Times New Roman"/>
          <w:sz w:val="24"/>
          <w:szCs w:val="24"/>
        </w:rPr>
        <w:t>The 1332 Guidance is the new guidance that offers more significant adaptability for states to practice and adopt waivers under section 1332 to rel</w:t>
      </w:r>
      <w:r>
        <w:rPr>
          <w:rFonts w:ascii="Times New Roman" w:hAnsi="Times New Roman" w:cs="Times New Roman"/>
          <w:sz w:val="24"/>
          <w:szCs w:val="24"/>
        </w:rPr>
        <w:t>inquish some PPACA requisites.</w:t>
      </w:r>
      <w:r w:rsidRPr="003E4080">
        <w:rPr>
          <w:rFonts w:ascii="Times New Roman" w:hAnsi="Times New Roman" w:cs="Times New Roman"/>
          <w:sz w:val="24"/>
          <w:szCs w:val="24"/>
        </w:rPr>
        <w:t xml:space="preserve"> The section 1332 of the PPACA allows a state to make application for a State Relief and Empowerment Waiver, permitting the state to enforce inventive ways of providing access to superior health care as long as the coverage present under the waiver in all-inclusive and affordable. The waiver never increases the government deficit.  </w:t>
      </w:r>
    </w:p>
    <w:p w:rsidR="003E4080" w:rsidRDefault="003E4080" w:rsidP="00E35149">
      <w:pPr>
        <w:spacing w:after="0" w:line="480" w:lineRule="auto"/>
        <w:contextualSpacing/>
        <w:rPr>
          <w:rFonts w:ascii="Times New Roman" w:hAnsi="Times New Roman" w:cs="Times New Roman"/>
          <w:sz w:val="24"/>
          <w:szCs w:val="24"/>
        </w:rPr>
      </w:pPr>
      <w:r w:rsidRPr="003E4080">
        <w:rPr>
          <w:rFonts w:ascii="Times New Roman" w:hAnsi="Times New Roman" w:cs="Times New Roman"/>
          <w:sz w:val="24"/>
          <w:szCs w:val="24"/>
        </w:rPr>
        <w:t xml:space="preserve"> Approval of a</w:t>
      </w:r>
      <w:r>
        <w:rPr>
          <w:rFonts w:ascii="Times New Roman" w:hAnsi="Times New Roman" w:cs="Times New Roman"/>
          <w:sz w:val="24"/>
          <w:szCs w:val="24"/>
        </w:rPr>
        <w:t xml:space="preserve"> waiver depends on four factors;</w:t>
      </w:r>
      <w:r w:rsidRPr="003E4080">
        <w:rPr>
          <w:rFonts w:ascii="Times New Roman" w:hAnsi="Times New Roman" w:cs="Times New Roman"/>
          <w:sz w:val="24"/>
          <w:szCs w:val="24"/>
        </w:rPr>
        <w:t xml:space="preserve"> coverage, affordability, comprehensiveness as well as the effect on the federal deficit. Waives can last for five years. The Department of </w:t>
      </w:r>
      <w:r>
        <w:rPr>
          <w:rFonts w:ascii="Times New Roman" w:hAnsi="Times New Roman" w:cs="Times New Roman"/>
          <w:sz w:val="24"/>
          <w:szCs w:val="24"/>
        </w:rPr>
        <w:t>H</w:t>
      </w:r>
      <w:r w:rsidRPr="003E4080">
        <w:rPr>
          <w:rFonts w:ascii="Times New Roman" w:hAnsi="Times New Roman" w:cs="Times New Roman"/>
          <w:sz w:val="24"/>
          <w:szCs w:val="24"/>
        </w:rPr>
        <w:t xml:space="preserve">ealth, </w:t>
      </w:r>
      <w:r>
        <w:rPr>
          <w:rFonts w:ascii="Times New Roman" w:hAnsi="Times New Roman" w:cs="Times New Roman"/>
          <w:sz w:val="24"/>
          <w:szCs w:val="24"/>
        </w:rPr>
        <w:t>T</w:t>
      </w:r>
      <w:r w:rsidRPr="003E4080">
        <w:rPr>
          <w:rFonts w:ascii="Times New Roman" w:hAnsi="Times New Roman" w:cs="Times New Roman"/>
          <w:sz w:val="24"/>
          <w:szCs w:val="24"/>
        </w:rPr>
        <w:t xml:space="preserve">reasury, and Human Services are tasked with assessing waiver applications. </w:t>
      </w:r>
    </w:p>
    <w:p w:rsidR="003E4080" w:rsidRDefault="003E4080" w:rsidP="00E35149">
      <w:pPr>
        <w:spacing w:after="0" w:line="480" w:lineRule="auto"/>
        <w:contextualSpacing/>
        <w:rPr>
          <w:rFonts w:ascii="Times New Roman" w:hAnsi="Times New Roman" w:cs="Times New Roman"/>
          <w:sz w:val="24"/>
          <w:szCs w:val="24"/>
        </w:rPr>
      </w:pPr>
      <w:r w:rsidRPr="003E4080">
        <w:rPr>
          <w:rFonts w:ascii="Times New Roman" w:hAnsi="Times New Roman" w:cs="Times New Roman"/>
          <w:sz w:val="24"/>
          <w:szCs w:val="24"/>
        </w:rPr>
        <w:t xml:space="preserve">The </w:t>
      </w:r>
      <w:r>
        <w:rPr>
          <w:rFonts w:ascii="Times New Roman" w:hAnsi="Times New Roman" w:cs="Times New Roman"/>
          <w:sz w:val="24"/>
          <w:szCs w:val="24"/>
        </w:rPr>
        <w:t>D</w:t>
      </w:r>
      <w:r w:rsidRPr="003E4080">
        <w:rPr>
          <w:rFonts w:ascii="Times New Roman" w:hAnsi="Times New Roman" w:cs="Times New Roman"/>
          <w:sz w:val="24"/>
          <w:szCs w:val="24"/>
        </w:rPr>
        <w:t>epartments concerned did issue new guidance on these waivers to replace 2015 guidance.</w:t>
      </w:r>
      <w:r>
        <w:rPr>
          <w:rFonts w:ascii="Times New Roman" w:hAnsi="Times New Roman" w:cs="Times New Roman"/>
          <w:sz w:val="24"/>
          <w:szCs w:val="24"/>
        </w:rPr>
        <w:t xml:space="preserve"> </w:t>
      </w:r>
      <w:r w:rsidRPr="003E4080">
        <w:rPr>
          <w:rFonts w:ascii="Times New Roman" w:hAnsi="Times New Roman" w:cs="Times New Roman"/>
          <w:sz w:val="24"/>
          <w:szCs w:val="24"/>
        </w:rPr>
        <w:t xml:space="preserve">The old guidance did impose huge extra hurdles on states in achieving the guardrails.  The new </w:t>
      </w:r>
      <w:r w:rsidRPr="003E4080">
        <w:rPr>
          <w:rFonts w:ascii="Times New Roman" w:hAnsi="Times New Roman" w:cs="Times New Roman"/>
          <w:sz w:val="24"/>
          <w:szCs w:val="24"/>
        </w:rPr>
        <w:lastRenderedPageBreak/>
        <w:t xml:space="preserve">guidance aims to ease the stringent restrictions which limit the state’s flexibility and patient choice </w:t>
      </w:r>
      <w:r>
        <w:rPr>
          <w:rFonts w:ascii="Times New Roman" w:hAnsi="Times New Roman" w:cs="Times New Roman"/>
          <w:sz w:val="24"/>
          <w:szCs w:val="24"/>
        </w:rPr>
        <w:t xml:space="preserve">at the same time upholding the </w:t>
      </w:r>
      <w:r w:rsidRPr="003E4080">
        <w:rPr>
          <w:rFonts w:ascii="Times New Roman" w:hAnsi="Times New Roman" w:cs="Times New Roman"/>
          <w:sz w:val="24"/>
          <w:szCs w:val="24"/>
        </w:rPr>
        <w:t xml:space="preserve">prerequisites of the stature; deficit impartiality, affordability, comprehensiveness, and coverage. </w:t>
      </w:r>
    </w:p>
    <w:p w:rsidR="003E4080" w:rsidRPr="003E4080" w:rsidRDefault="003E4080" w:rsidP="00E35149">
      <w:pPr>
        <w:spacing w:after="0" w:line="480" w:lineRule="auto"/>
        <w:ind w:firstLine="720"/>
        <w:contextualSpacing/>
        <w:rPr>
          <w:rFonts w:ascii="Times New Roman" w:hAnsi="Times New Roman" w:cs="Times New Roman"/>
          <w:sz w:val="24"/>
          <w:szCs w:val="24"/>
        </w:rPr>
      </w:pPr>
      <w:r w:rsidRPr="003E4080">
        <w:rPr>
          <w:rFonts w:ascii="Times New Roman" w:hAnsi="Times New Roman" w:cs="Times New Roman"/>
          <w:sz w:val="24"/>
          <w:szCs w:val="24"/>
        </w:rPr>
        <w:t xml:space="preserve">The secretaries have the power to refuse waivers when necessary. For states to have their waiver applications approved, secretaries want them to explain how their proposal can advance the following standards: providing affordable private market coverage, encouraging sustainable expenditure growth, fostering state inventiveness, supporting and empowering people in need and promoting consumer-driven healthcare. </w:t>
      </w:r>
    </w:p>
    <w:p w:rsidR="003E4080" w:rsidRPr="003E4080" w:rsidRDefault="003E4080" w:rsidP="00E35149">
      <w:pPr>
        <w:spacing w:after="0" w:line="480" w:lineRule="auto"/>
        <w:contextualSpacing/>
        <w:rPr>
          <w:rFonts w:ascii="Times New Roman" w:hAnsi="Times New Roman" w:cs="Times New Roman"/>
          <w:sz w:val="24"/>
          <w:szCs w:val="24"/>
        </w:rPr>
      </w:pPr>
      <w:r w:rsidRPr="003E4080">
        <w:rPr>
          <w:rFonts w:ascii="Times New Roman" w:hAnsi="Times New Roman" w:cs="Times New Roman"/>
          <w:sz w:val="24"/>
          <w:szCs w:val="24"/>
        </w:rPr>
        <w:t xml:space="preserve"> </w:t>
      </w:r>
      <w:r>
        <w:rPr>
          <w:rFonts w:ascii="Times New Roman" w:hAnsi="Times New Roman" w:cs="Times New Roman"/>
          <w:sz w:val="24"/>
          <w:szCs w:val="24"/>
        </w:rPr>
        <w:tab/>
      </w:r>
      <w:r w:rsidRPr="003E4080">
        <w:rPr>
          <w:rFonts w:ascii="Times New Roman" w:hAnsi="Times New Roman" w:cs="Times New Roman"/>
          <w:sz w:val="24"/>
          <w:szCs w:val="24"/>
        </w:rPr>
        <w:t xml:space="preserve">Affordability and comprehensiveness guardrails are assessed on the basis of if the waiver offers access to coverage that is as comprehensive and reasonably priced as coverage to an equivalent number of individuals as it would have access in the absence of the waiver. On the contrary, the previous rule did consider if the same number of individuals purchased coverage that is at least comprehensive and inexpensive. </w:t>
      </w:r>
    </w:p>
    <w:p w:rsidR="003E4080" w:rsidRPr="003E4080" w:rsidRDefault="003E4080" w:rsidP="00E35149">
      <w:pPr>
        <w:spacing w:after="0" w:line="480" w:lineRule="auto"/>
        <w:ind w:firstLine="720"/>
        <w:contextualSpacing/>
        <w:rPr>
          <w:rFonts w:ascii="Times New Roman" w:hAnsi="Times New Roman" w:cs="Times New Roman"/>
          <w:sz w:val="24"/>
          <w:szCs w:val="24"/>
        </w:rPr>
      </w:pPr>
      <w:r w:rsidRPr="003E4080">
        <w:rPr>
          <w:rFonts w:ascii="Times New Roman" w:hAnsi="Times New Roman" w:cs="Times New Roman"/>
          <w:sz w:val="24"/>
          <w:szCs w:val="24"/>
        </w:rPr>
        <w:t xml:space="preserve"> In the baseline with the absence of a waiver, 100 individuals can access a plan with EHB and is their means.  With the waiver in place, 100 individuals can still access a plan that entails EHB and are inexpensive as with the absence of waiver however only 85 individuals still took up that plan while 15 individuals chose other programs that meet the coverage description but not QHPs or may not cover EHB or be as affordable. The aggregate effect: the evaluation of the guardrails will take into consideration the effects of the waiver on coverage in the aggregate across all state inhabitants. Nonetheless, an application ought to deal with how the waiver shall affect the people with low incomes or huge healthcare expenditure in position with the doctrine for every guardrail. </w:t>
      </w:r>
    </w:p>
    <w:p w:rsidR="003E4080" w:rsidRPr="003E4080" w:rsidRDefault="003E4080" w:rsidP="00E35149">
      <w:pPr>
        <w:spacing w:after="0" w:line="480" w:lineRule="auto"/>
        <w:ind w:firstLine="720"/>
        <w:contextualSpacing/>
        <w:rPr>
          <w:rFonts w:ascii="Times New Roman" w:hAnsi="Times New Roman" w:cs="Times New Roman"/>
          <w:sz w:val="24"/>
          <w:szCs w:val="24"/>
        </w:rPr>
      </w:pPr>
      <w:r w:rsidRPr="003E4080">
        <w:rPr>
          <w:rFonts w:ascii="Times New Roman" w:hAnsi="Times New Roman" w:cs="Times New Roman"/>
          <w:sz w:val="24"/>
          <w:szCs w:val="24"/>
        </w:rPr>
        <w:t xml:space="preserve"> Deficit neutrality- the targeted federal expenditure net of revenues under section 1332 waiver should equal or be lower than the targeted federal expenditure net of venues in the lack of section 1332 waiver.   The impact of federal expenditures entails all changes in Exchange financial assistance and any expenditure that emanate</w:t>
      </w:r>
      <w:r>
        <w:rPr>
          <w:rFonts w:ascii="Times New Roman" w:hAnsi="Times New Roman" w:cs="Times New Roman"/>
          <w:sz w:val="24"/>
          <w:szCs w:val="24"/>
        </w:rPr>
        <w:t xml:space="preserve"> from the section 1332 waiver. </w:t>
      </w:r>
      <w:r w:rsidRPr="003E4080">
        <w:rPr>
          <w:rFonts w:ascii="Times New Roman" w:hAnsi="Times New Roman" w:cs="Times New Roman"/>
          <w:sz w:val="24"/>
          <w:szCs w:val="24"/>
        </w:rPr>
        <w:t xml:space="preserve">Waivers should never increase the deficit over the time span of the waiver. The pass-through funding permits departments to make essential modifications to ascertain federal deficit neutrality like decreases in pass-through finding to account for increases in expenditure or reduction in revenue.  The amount is evaluated yearly by the departments and shall be updated to mirror alterations in federal or state bylaws.  </w:t>
      </w:r>
    </w:p>
    <w:p w:rsidR="003E4080" w:rsidRPr="003E4080" w:rsidRDefault="003E4080" w:rsidP="00E35149">
      <w:pPr>
        <w:spacing w:after="0" w:line="480" w:lineRule="auto"/>
        <w:contextualSpacing/>
        <w:rPr>
          <w:rFonts w:ascii="Times New Roman" w:hAnsi="Times New Roman" w:cs="Times New Roman"/>
          <w:sz w:val="24"/>
          <w:szCs w:val="24"/>
        </w:rPr>
      </w:pPr>
      <w:r w:rsidRPr="003E4080">
        <w:rPr>
          <w:rFonts w:ascii="Times New Roman" w:hAnsi="Times New Roman" w:cs="Times New Roman"/>
          <w:sz w:val="24"/>
          <w:szCs w:val="24"/>
        </w:rPr>
        <w:t xml:space="preserve"> </w:t>
      </w:r>
      <w:r>
        <w:rPr>
          <w:rFonts w:ascii="Times New Roman" w:hAnsi="Times New Roman" w:cs="Times New Roman"/>
          <w:sz w:val="24"/>
          <w:szCs w:val="24"/>
        </w:rPr>
        <w:tab/>
      </w:r>
      <w:r w:rsidRPr="003E4080">
        <w:rPr>
          <w:rFonts w:ascii="Times New Roman" w:hAnsi="Times New Roman" w:cs="Times New Roman"/>
          <w:sz w:val="24"/>
          <w:szCs w:val="24"/>
        </w:rPr>
        <w:t xml:space="preserve">When making a proposal, a state is required to involve the public and offer their input before making an application. This entails consultation with federally acknowledged tribes.   Other programs like Medicaid have no impact on the waiver assessment proposal.   CMS seeks to provide states with waiver concepts to aid in fostering discourses with states and demonstrate how they can capitalize on new flexibilities available. The waiver concepts are given to function as a catalyst for inventive ideas that might enhance the healthcare markets in different states.  </w:t>
      </w:r>
    </w:p>
    <w:p w:rsidR="003E4080" w:rsidRPr="003E4080" w:rsidRDefault="003E4080" w:rsidP="00E35149">
      <w:pPr>
        <w:spacing w:after="0" w:line="480" w:lineRule="auto"/>
        <w:contextualSpacing/>
        <w:rPr>
          <w:rFonts w:ascii="Times New Roman" w:hAnsi="Times New Roman" w:cs="Times New Roman"/>
          <w:sz w:val="24"/>
          <w:szCs w:val="24"/>
        </w:rPr>
      </w:pPr>
      <w:r w:rsidRPr="003E4080">
        <w:rPr>
          <w:rFonts w:ascii="Times New Roman" w:hAnsi="Times New Roman" w:cs="Times New Roman"/>
          <w:sz w:val="24"/>
          <w:szCs w:val="24"/>
        </w:rPr>
        <w:t xml:space="preserve"> States might utilize the waiver concepts singly or combine with other waiver elements or other state suggestions. The four waiver concepts entail Adjusted Plans Alternatives, Risk Stabilization Approaches, Account Based Subsidies, and State-Specific Premium Assistance. </w:t>
      </w:r>
    </w:p>
    <w:p w:rsidR="00E35149" w:rsidRDefault="003E4080" w:rsidP="00E35149">
      <w:pPr>
        <w:spacing w:after="0" w:line="480" w:lineRule="auto"/>
        <w:contextualSpacing/>
        <w:rPr>
          <w:rFonts w:ascii="Times New Roman" w:hAnsi="Times New Roman" w:cs="Times New Roman"/>
          <w:sz w:val="24"/>
          <w:szCs w:val="24"/>
        </w:rPr>
      </w:pPr>
      <w:r w:rsidRPr="003E4080">
        <w:rPr>
          <w:rFonts w:ascii="Times New Roman" w:hAnsi="Times New Roman" w:cs="Times New Roman"/>
          <w:sz w:val="24"/>
          <w:szCs w:val="24"/>
        </w:rPr>
        <w:t xml:space="preserve"> </w:t>
      </w:r>
      <w:r>
        <w:rPr>
          <w:rFonts w:ascii="Times New Roman" w:hAnsi="Times New Roman" w:cs="Times New Roman"/>
          <w:sz w:val="24"/>
          <w:szCs w:val="24"/>
        </w:rPr>
        <w:tab/>
        <w:t>The</w:t>
      </w:r>
      <w:r w:rsidRPr="003E4080">
        <w:rPr>
          <w:rFonts w:ascii="Times New Roman" w:hAnsi="Times New Roman" w:cs="Times New Roman"/>
          <w:sz w:val="24"/>
          <w:szCs w:val="24"/>
        </w:rPr>
        <w:t xml:space="preserve"> states ought to engage with the departments early to discuss if their state authority does meet the prerequisite to enacting a bylaw.  If there are changes in the process, the department and state ought to work together as well as other policymakers to smoothen the process. The idea of the waiver is to provide comprehensive, affordable healthcare to the people and all players should ensure the process is smooth to ascertain the realization of this goal. </w:t>
      </w:r>
    </w:p>
    <w:p w:rsidR="00E35149" w:rsidRDefault="00E35149">
      <w:pPr>
        <w:rPr>
          <w:rFonts w:ascii="Times New Roman" w:hAnsi="Times New Roman" w:cs="Times New Roman"/>
          <w:sz w:val="24"/>
          <w:szCs w:val="24"/>
        </w:rPr>
      </w:pPr>
      <w:r>
        <w:rPr>
          <w:rFonts w:ascii="Times New Roman" w:hAnsi="Times New Roman" w:cs="Times New Roman"/>
          <w:sz w:val="24"/>
          <w:szCs w:val="24"/>
        </w:rPr>
        <w:br w:type="page"/>
      </w:r>
    </w:p>
    <w:p w:rsidR="003E4080" w:rsidRDefault="003E4080" w:rsidP="00E35149">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Work Cited</w:t>
      </w:r>
    </w:p>
    <w:p w:rsidR="003E4080" w:rsidRPr="00D40CCC" w:rsidRDefault="00D40CCC" w:rsidP="00E35149">
      <w:pPr>
        <w:spacing w:after="0" w:line="480" w:lineRule="auto"/>
        <w:ind w:left="720" w:hanging="720"/>
        <w:contextualSpacing/>
        <w:rPr>
          <w:rFonts w:ascii="Times New Roman" w:hAnsi="Times New Roman" w:cs="Times New Roman"/>
          <w:sz w:val="24"/>
          <w:szCs w:val="24"/>
        </w:rPr>
      </w:pPr>
      <w:r w:rsidRPr="00D40CCC">
        <w:rPr>
          <w:rStyle w:val="selectable"/>
          <w:rFonts w:ascii="Times New Roman" w:hAnsi="Times New Roman" w:cs="Times New Roman"/>
          <w:color w:val="000000"/>
          <w:sz w:val="24"/>
          <w:szCs w:val="24"/>
        </w:rPr>
        <w:t xml:space="preserve">"Health Care Waivers: 1332-State Relief And Empowerment Waivers Webinar". </w:t>
      </w:r>
      <w:r w:rsidRPr="00D40CCC">
        <w:rPr>
          <w:rStyle w:val="selectable"/>
          <w:rFonts w:ascii="Times New Roman" w:hAnsi="Times New Roman" w:cs="Times New Roman"/>
          <w:i/>
          <w:iCs/>
          <w:color w:val="000000"/>
          <w:sz w:val="24"/>
          <w:szCs w:val="24"/>
        </w:rPr>
        <w:t>Ncsl.Org</w:t>
      </w:r>
      <w:r w:rsidRPr="00D40CCC">
        <w:rPr>
          <w:rStyle w:val="selectable"/>
          <w:rFonts w:ascii="Times New Roman" w:hAnsi="Times New Roman" w:cs="Times New Roman"/>
          <w:color w:val="000000"/>
          <w:sz w:val="24"/>
          <w:szCs w:val="24"/>
        </w:rPr>
        <w:t>, 2019, http://www.ncsl.org/research/health/health-care-waivers-1332-state-relief-and-empowerment-waivers-webinar.aspx.</w:t>
      </w:r>
    </w:p>
    <w:sectPr w:rsidR="003E4080" w:rsidRPr="00D40CCC" w:rsidSect="003E4080">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FDC" w:rsidRDefault="00FC6FDC" w:rsidP="003E4080">
      <w:pPr>
        <w:spacing w:after="0" w:line="240" w:lineRule="auto"/>
      </w:pPr>
      <w:r>
        <w:separator/>
      </w:r>
    </w:p>
  </w:endnote>
  <w:endnote w:type="continuationSeparator" w:id="0">
    <w:p w:rsidR="00FC6FDC" w:rsidRDefault="00FC6FDC" w:rsidP="003E4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FDC" w:rsidRDefault="00FC6FDC" w:rsidP="003E4080">
      <w:pPr>
        <w:spacing w:after="0" w:line="240" w:lineRule="auto"/>
      </w:pPr>
      <w:r>
        <w:separator/>
      </w:r>
    </w:p>
  </w:footnote>
  <w:footnote w:type="continuationSeparator" w:id="0">
    <w:p w:rsidR="00FC6FDC" w:rsidRDefault="00FC6FDC" w:rsidP="003E40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080" w:rsidRPr="003E4080" w:rsidRDefault="003E4080">
    <w:pPr>
      <w:pStyle w:val="Header"/>
      <w:jc w:val="right"/>
      <w:rPr>
        <w:rFonts w:ascii="Times New Roman" w:hAnsi="Times New Roman" w:cs="Times New Roman"/>
        <w:sz w:val="24"/>
        <w:szCs w:val="24"/>
      </w:rPr>
    </w:pPr>
    <w:r w:rsidRPr="003E4080">
      <w:rPr>
        <w:rFonts w:ascii="Times New Roman" w:hAnsi="Times New Roman" w:cs="Times New Roman"/>
        <w:sz w:val="24"/>
        <w:szCs w:val="24"/>
      </w:rPr>
      <w:t xml:space="preserve">Surname </w:t>
    </w:r>
    <w:sdt>
      <w:sdtPr>
        <w:rPr>
          <w:rFonts w:ascii="Times New Roman" w:hAnsi="Times New Roman" w:cs="Times New Roman"/>
          <w:sz w:val="24"/>
          <w:szCs w:val="24"/>
        </w:rPr>
        <w:id w:val="15647665"/>
        <w:docPartObj>
          <w:docPartGallery w:val="Page Numbers (Top of Page)"/>
          <w:docPartUnique/>
        </w:docPartObj>
      </w:sdtPr>
      <w:sdtEndPr/>
      <w:sdtContent>
        <w:r w:rsidRPr="003E4080">
          <w:rPr>
            <w:rFonts w:ascii="Times New Roman" w:hAnsi="Times New Roman" w:cs="Times New Roman"/>
            <w:sz w:val="24"/>
            <w:szCs w:val="24"/>
          </w:rPr>
          <w:fldChar w:fldCharType="begin"/>
        </w:r>
        <w:r w:rsidRPr="003E4080">
          <w:rPr>
            <w:rFonts w:ascii="Times New Roman" w:hAnsi="Times New Roman" w:cs="Times New Roman"/>
            <w:sz w:val="24"/>
            <w:szCs w:val="24"/>
          </w:rPr>
          <w:instrText xml:space="preserve"> PAGE   \* MERGEFORMAT </w:instrText>
        </w:r>
        <w:r w:rsidRPr="003E4080">
          <w:rPr>
            <w:rFonts w:ascii="Times New Roman" w:hAnsi="Times New Roman" w:cs="Times New Roman"/>
            <w:sz w:val="24"/>
            <w:szCs w:val="24"/>
          </w:rPr>
          <w:fldChar w:fldCharType="separate"/>
        </w:r>
        <w:r w:rsidR="00FC6FDC">
          <w:rPr>
            <w:rFonts w:ascii="Times New Roman" w:hAnsi="Times New Roman" w:cs="Times New Roman"/>
            <w:noProof/>
            <w:sz w:val="24"/>
            <w:szCs w:val="24"/>
          </w:rPr>
          <w:t>1</w:t>
        </w:r>
        <w:r w:rsidRPr="003E4080">
          <w:rPr>
            <w:rFonts w:ascii="Times New Roman" w:hAnsi="Times New Roman" w:cs="Times New Roman"/>
            <w:sz w:val="24"/>
            <w:szCs w:val="24"/>
          </w:rPr>
          <w:fldChar w:fldCharType="end"/>
        </w:r>
      </w:sdtContent>
    </w:sdt>
  </w:p>
  <w:p w:rsidR="003E4080" w:rsidRDefault="003E40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Lc0N7QwMjM0NzEzMbJU0lEKTi0uzszPAykwrAUAwzTw+SwAAAA="/>
  </w:docVars>
  <w:rsids>
    <w:rsidRoot w:val="004D1760"/>
    <w:rsid w:val="00066114"/>
    <w:rsid w:val="00096AE1"/>
    <w:rsid w:val="000E2696"/>
    <w:rsid w:val="0018003D"/>
    <w:rsid w:val="0018109C"/>
    <w:rsid w:val="0019268C"/>
    <w:rsid w:val="001E3DD8"/>
    <w:rsid w:val="001F6192"/>
    <w:rsid w:val="00256010"/>
    <w:rsid w:val="00273B86"/>
    <w:rsid w:val="0028262C"/>
    <w:rsid w:val="002C2B4F"/>
    <w:rsid w:val="002C42EC"/>
    <w:rsid w:val="002E7735"/>
    <w:rsid w:val="00345E9E"/>
    <w:rsid w:val="003837E6"/>
    <w:rsid w:val="00395871"/>
    <w:rsid w:val="003E4080"/>
    <w:rsid w:val="00415B92"/>
    <w:rsid w:val="0047154C"/>
    <w:rsid w:val="00490DA8"/>
    <w:rsid w:val="004D1760"/>
    <w:rsid w:val="004F4AE9"/>
    <w:rsid w:val="005673B5"/>
    <w:rsid w:val="005A3786"/>
    <w:rsid w:val="006125DF"/>
    <w:rsid w:val="0061773F"/>
    <w:rsid w:val="00645C07"/>
    <w:rsid w:val="00695CD1"/>
    <w:rsid w:val="006A2D91"/>
    <w:rsid w:val="00716F5E"/>
    <w:rsid w:val="007273A9"/>
    <w:rsid w:val="00747CF2"/>
    <w:rsid w:val="007637D0"/>
    <w:rsid w:val="007A2300"/>
    <w:rsid w:val="007A4F0E"/>
    <w:rsid w:val="007B678D"/>
    <w:rsid w:val="00851889"/>
    <w:rsid w:val="00995D7B"/>
    <w:rsid w:val="00A02F78"/>
    <w:rsid w:val="00A517B5"/>
    <w:rsid w:val="00A65178"/>
    <w:rsid w:val="00AA6466"/>
    <w:rsid w:val="00B04490"/>
    <w:rsid w:val="00B338DC"/>
    <w:rsid w:val="00B92FD5"/>
    <w:rsid w:val="00BB588C"/>
    <w:rsid w:val="00C61DF7"/>
    <w:rsid w:val="00C66528"/>
    <w:rsid w:val="00C7289B"/>
    <w:rsid w:val="00C93AA2"/>
    <w:rsid w:val="00C9447A"/>
    <w:rsid w:val="00CD3FB2"/>
    <w:rsid w:val="00CE05FB"/>
    <w:rsid w:val="00D40CCC"/>
    <w:rsid w:val="00D7134D"/>
    <w:rsid w:val="00D82DCB"/>
    <w:rsid w:val="00D94C0C"/>
    <w:rsid w:val="00DB58CA"/>
    <w:rsid w:val="00DE1275"/>
    <w:rsid w:val="00E35149"/>
    <w:rsid w:val="00E86745"/>
    <w:rsid w:val="00F031AF"/>
    <w:rsid w:val="00F13265"/>
    <w:rsid w:val="00F174C0"/>
    <w:rsid w:val="00FA6118"/>
    <w:rsid w:val="00FC6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A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7A2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A2300"/>
    <w:rPr>
      <w:rFonts w:ascii="Courier New" w:eastAsia="Times New Roman" w:hAnsi="Courier New" w:cs="Courier New"/>
      <w:sz w:val="20"/>
      <w:szCs w:val="20"/>
    </w:rPr>
  </w:style>
  <w:style w:type="paragraph" w:styleId="Header">
    <w:name w:val="header"/>
    <w:basedOn w:val="Normal"/>
    <w:link w:val="HeaderChar"/>
    <w:uiPriority w:val="99"/>
    <w:unhideWhenUsed/>
    <w:rsid w:val="003E40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080"/>
  </w:style>
  <w:style w:type="paragraph" w:styleId="Footer">
    <w:name w:val="footer"/>
    <w:basedOn w:val="Normal"/>
    <w:link w:val="FooterChar"/>
    <w:uiPriority w:val="99"/>
    <w:semiHidden/>
    <w:unhideWhenUsed/>
    <w:rsid w:val="003E408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E4080"/>
  </w:style>
  <w:style w:type="character" w:customStyle="1" w:styleId="selectable">
    <w:name w:val="selectable"/>
    <w:basedOn w:val="DefaultParagraphFont"/>
    <w:rsid w:val="00D40C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7660761">
      <w:bodyDiv w:val="1"/>
      <w:marLeft w:val="0"/>
      <w:marRight w:val="0"/>
      <w:marTop w:val="0"/>
      <w:marBottom w:val="0"/>
      <w:divBdr>
        <w:top w:val="none" w:sz="0" w:space="0" w:color="auto"/>
        <w:left w:val="none" w:sz="0" w:space="0" w:color="auto"/>
        <w:bottom w:val="none" w:sz="0" w:space="0" w:color="auto"/>
        <w:right w:val="none" w:sz="0" w:space="0" w:color="auto"/>
      </w:divBdr>
      <w:divsChild>
        <w:div w:id="19278385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876</Words>
  <Characters>4996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2019-03-25T07:17:00Z</dcterms:created>
  <dcterms:modified xsi:type="dcterms:W3CDTF">2019-03-25T07:18:00Z</dcterms:modified>
</cp:coreProperties>
</file>